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6F" w:rsidRDefault="0024056F" w:rsidP="0024056F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АННОТАЦИЯ</w:t>
      </w:r>
    </w:p>
    <w:p w:rsidR="0024056F" w:rsidRPr="006F6E94" w:rsidRDefault="0024056F" w:rsidP="0024056F">
      <w:pPr>
        <w:pStyle w:val="a3"/>
        <w:jc w:val="center"/>
        <w:rPr>
          <w:b/>
        </w:rPr>
      </w:pPr>
      <w:r w:rsidRPr="006F6E94">
        <w:rPr>
          <w:b/>
          <w:sz w:val="26"/>
          <w:szCs w:val="26"/>
        </w:rPr>
        <w:t xml:space="preserve">К РАБОЧЕЙ ПРОГРАММЕ </w:t>
      </w:r>
      <w:r w:rsidRPr="006F6E94">
        <w:rPr>
          <w:b/>
        </w:rPr>
        <w:t>ПРАКТИКИ</w:t>
      </w:r>
    </w:p>
    <w:p w:rsidR="0024056F" w:rsidRDefault="0024056F" w:rsidP="0024056F">
      <w:pPr>
        <w:pStyle w:val="a3"/>
        <w:jc w:val="center"/>
      </w:pPr>
      <w:bookmarkStart w:id="0" w:name="_GoBack"/>
      <w:r w:rsidRPr="00C103AE">
        <w:t>Учебная (ознакомительная) практика</w:t>
      </w:r>
    </w:p>
    <w:bookmarkEnd w:id="0"/>
    <w:p w:rsidR="0024056F" w:rsidRPr="00C103AE" w:rsidRDefault="0024056F" w:rsidP="0024056F">
      <w:pPr>
        <w:spacing w:before="120" w:after="80"/>
      </w:pPr>
      <w:r w:rsidRPr="00C103AE">
        <w:rPr>
          <w:b/>
        </w:rPr>
        <w:t xml:space="preserve">Направление подготовки </w:t>
      </w:r>
      <w:r w:rsidRPr="00C103AE">
        <w:t>12.03.01 ПРИБОРОСТРОЕНИЕ</w:t>
      </w:r>
      <w:r w:rsidRPr="00C103AE">
        <w:rPr>
          <w:b/>
        </w:rPr>
        <w:t xml:space="preserve"> </w:t>
      </w:r>
    </w:p>
    <w:p w:rsidR="0024056F" w:rsidRPr="00C103AE" w:rsidRDefault="0024056F" w:rsidP="0024056F">
      <w:pPr>
        <w:outlineLvl w:val="0"/>
        <w:rPr>
          <w:sz w:val="20"/>
          <w:szCs w:val="20"/>
        </w:rPr>
      </w:pPr>
      <w:r w:rsidRPr="00C103AE">
        <w:rPr>
          <w:b/>
        </w:rPr>
        <w:t xml:space="preserve">Направленность (профиль) </w:t>
      </w:r>
      <w:r w:rsidRPr="00C103AE">
        <w:t>Информационные системы и технологии неразрушающего контроля и диагностики</w:t>
      </w:r>
    </w:p>
    <w:p w:rsidR="0024056F" w:rsidRDefault="0024056F" w:rsidP="0024056F">
      <w:pPr>
        <w:outlineLvl w:val="0"/>
        <w:rPr>
          <w:u w:val="single"/>
        </w:rPr>
      </w:pPr>
      <w:r w:rsidRPr="00C103AE">
        <w:rPr>
          <w:b/>
        </w:rPr>
        <w:t xml:space="preserve">Квалификация </w:t>
      </w:r>
      <w:r w:rsidRPr="00065093">
        <w:t>Бакалавр</w:t>
      </w:r>
    </w:p>
    <w:p w:rsidR="0024056F" w:rsidRPr="00C103AE" w:rsidRDefault="0024056F" w:rsidP="0024056F">
      <w:pPr>
        <w:widowControl w:val="0"/>
        <w:shd w:val="clear" w:color="auto" w:fill="FFFFFF"/>
        <w:spacing w:before="38"/>
        <w:ind w:left="57" w:right="-57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5215"/>
      </w:tblGrid>
      <w:tr w:rsidR="0024056F" w:rsidRPr="00C103AE" w:rsidTr="00BC4C60">
        <w:trPr>
          <w:trHeight w:val="263"/>
        </w:trPr>
        <w:tc>
          <w:tcPr>
            <w:tcW w:w="3872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</w:pPr>
          </w:p>
        </w:tc>
        <w:tc>
          <w:tcPr>
            <w:tcW w:w="5215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  <w:jc w:val="center"/>
            </w:pPr>
            <w:r w:rsidRPr="00C103AE">
              <w:t>Форма обучения</w:t>
            </w:r>
          </w:p>
        </w:tc>
      </w:tr>
      <w:tr w:rsidR="0024056F" w:rsidRPr="00C103AE" w:rsidTr="00BC4C60">
        <w:trPr>
          <w:trHeight w:val="280"/>
        </w:trPr>
        <w:tc>
          <w:tcPr>
            <w:tcW w:w="3872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</w:pPr>
          </w:p>
        </w:tc>
        <w:tc>
          <w:tcPr>
            <w:tcW w:w="5215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  <w:jc w:val="center"/>
            </w:pPr>
            <w:r w:rsidRPr="00C103AE">
              <w:t>Очная</w:t>
            </w:r>
          </w:p>
        </w:tc>
      </w:tr>
      <w:tr w:rsidR="0024056F" w:rsidRPr="00C103AE" w:rsidTr="00BC4C60">
        <w:trPr>
          <w:trHeight w:val="263"/>
        </w:trPr>
        <w:tc>
          <w:tcPr>
            <w:tcW w:w="3872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</w:pPr>
            <w:r w:rsidRPr="00C103AE">
              <w:t>Курс</w:t>
            </w:r>
          </w:p>
        </w:tc>
        <w:tc>
          <w:tcPr>
            <w:tcW w:w="5215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  <w:jc w:val="center"/>
            </w:pPr>
            <w:r w:rsidRPr="00C103AE">
              <w:t>1</w:t>
            </w:r>
          </w:p>
        </w:tc>
      </w:tr>
      <w:tr w:rsidR="0024056F" w:rsidRPr="00C103AE" w:rsidTr="00BC4C60">
        <w:trPr>
          <w:trHeight w:val="263"/>
        </w:trPr>
        <w:tc>
          <w:tcPr>
            <w:tcW w:w="3872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</w:pPr>
            <w:r w:rsidRPr="00C103AE">
              <w:t>Семестр</w:t>
            </w:r>
          </w:p>
        </w:tc>
        <w:tc>
          <w:tcPr>
            <w:tcW w:w="5215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  <w:jc w:val="center"/>
            </w:pPr>
            <w:r w:rsidRPr="00C103AE">
              <w:t>2</w:t>
            </w:r>
          </w:p>
        </w:tc>
      </w:tr>
      <w:tr w:rsidR="0024056F" w:rsidRPr="00C103AE" w:rsidTr="00BC4C60">
        <w:trPr>
          <w:trHeight w:val="510"/>
        </w:trPr>
        <w:tc>
          <w:tcPr>
            <w:tcW w:w="3872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</w:pPr>
            <w:r w:rsidRPr="00C103AE">
              <w:t>Трудоемкость ЗЕ/часов</w:t>
            </w:r>
          </w:p>
        </w:tc>
        <w:tc>
          <w:tcPr>
            <w:tcW w:w="5215" w:type="dxa"/>
            <w:shd w:val="clear" w:color="auto" w:fill="auto"/>
          </w:tcPr>
          <w:p w:rsidR="0024056F" w:rsidRPr="00C103AE" w:rsidRDefault="0024056F" w:rsidP="00BC4C60">
            <w:pPr>
              <w:widowControl w:val="0"/>
              <w:spacing w:before="38"/>
              <w:ind w:right="-57"/>
              <w:jc w:val="center"/>
            </w:pPr>
            <w:r w:rsidRPr="00C103AE">
              <w:t>108/3</w:t>
            </w:r>
          </w:p>
        </w:tc>
      </w:tr>
    </w:tbl>
    <w:p w:rsidR="0024056F" w:rsidRPr="00C103AE" w:rsidRDefault="0024056F" w:rsidP="0024056F">
      <w:pPr>
        <w:widowControl w:val="0"/>
        <w:shd w:val="clear" w:color="auto" w:fill="FFFFFF"/>
        <w:spacing w:before="38"/>
        <w:ind w:left="57" w:right="-57"/>
      </w:pPr>
    </w:p>
    <w:p w:rsidR="0024056F" w:rsidRPr="006602FF" w:rsidRDefault="0024056F" w:rsidP="0024056F">
      <w:pPr>
        <w:shd w:val="clear" w:color="auto" w:fill="FFFFFF"/>
        <w:ind w:left="57" w:right="-57"/>
        <w:jc w:val="both"/>
      </w:pPr>
      <w:r w:rsidRPr="006602FF">
        <w:t>1</w:t>
      </w:r>
      <w:r w:rsidRPr="006602FF">
        <w:rPr>
          <w:lang w:val="en-US"/>
        </w:rPr>
        <w:t> </w:t>
      </w:r>
      <w:r w:rsidRPr="006602FF">
        <w:t>Цель практики</w:t>
      </w:r>
      <w:r w:rsidRPr="00065093">
        <w:t>.</w:t>
      </w:r>
      <w:r w:rsidRPr="00C103AE">
        <w:t xml:space="preserve"> Целью практики является </w:t>
      </w:r>
      <w:r w:rsidRPr="00684912">
        <w:t>формирова</w:t>
      </w:r>
      <w:r>
        <w:t>ние</w:t>
      </w:r>
      <w:r w:rsidRPr="00684912">
        <w:t xml:space="preserve"> представлени</w:t>
      </w:r>
      <w:r>
        <w:t>я</w:t>
      </w:r>
      <w:r w:rsidRPr="00684912">
        <w:t xml:space="preserve"> о будущей специальности, о путях практического применения методов контроля, перспективах их совершенствования, областях наиболее эффективного применения средств контроля.</w:t>
      </w:r>
    </w:p>
    <w:p w:rsidR="0024056F" w:rsidRPr="00065093" w:rsidRDefault="0024056F" w:rsidP="0024056F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6602FF">
        <w:rPr>
          <w:rFonts w:eastAsia="Calibri"/>
          <w:color w:val="000000"/>
        </w:rPr>
        <w:t xml:space="preserve">2. </w:t>
      </w:r>
      <w:r w:rsidRPr="006602FF">
        <w:rPr>
          <w:bCs/>
        </w:rPr>
        <w:t>Планируемые результаты прохождения практики</w:t>
      </w:r>
      <w:r>
        <w:rPr>
          <w:bCs/>
        </w:rPr>
        <w:t>.</w:t>
      </w:r>
      <w:r w:rsidRPr="00065093">
        <w:rPr>
          <w:bCs/>
        </w:rPr>
        <w:t xml:space="preserve"> </w:t>
      </w:r>
      <w:r w:rsidRPr="00C103AE">
        <w:t xml:space="preserve">В ходе практики у </w:t>
      </w:r>
      <w:r>
        <w:t>обучающихся</w:t>
      </w:r>
      <w:r w:rsidRPr="00C103AE">
        <w:t xml:space="preserve"> должно сформироваться представление о будущей специальности, о путях практического применения методов контроля, перспективах их совершенствования, областях наиболее эффективного применения средств контроля. Особое внимание уделяется ознакомлению с техникой неразрушающего контроля, приобретению практических навыков, необходимых для дальнейшей учебы в вузе.</w:t>
      </w:r>
    </w:p>
    <w:p w:rsidR="0024056F" w:rsidRPr="00065093" w:rsidRDefault="0024056F" w:rsidP="0024056F">
      <w:pPr>
        <w:shd w:val="clear" w:color="auto" w:fill="FFFFFF"/>
        <w:ind w:left="57" w:right="-57"/>
        <w:jc w:val="both"/>
      </w:pPr>
      <w:r w:rsidRPr="006602FF">
        <w:t>3. Место практики в структуре подготовки студента</w:t>
      </w:r>
      <w:r>
        <w:t xml:space="preserve">. </w:t>
      </w:r>
      <w:r w:rsidRPr="005B751F">
        <w:t>Практика относится к Блоку 2 "Практика" (обязательная часть Блока 2).</w:t>
      </w:r>
    </w:p>
    <w:p w:rsidR="0024056F" w:rsidRPr="00065093" w:rsidRDefault="0024056F" w:rsidP="0024056F">
      <w:pPr>
        <w:widowControl w:val="0"/>
        <w:jc w:val="both"/>
        <w:outlineLvl w:val="0"/>
      </w:pPr>
      <w:r w:rsidRPr="006602FF">
        <w:t>4. Компетенции студента, формируемые в результате прохождения практики</w:t>
      </w:r>
      <w:r w:rsidRPr="00065093">
        <w:t xml:space="preserve">. </w:t>
      </w:r>
      <w:r w:rsidRPr="00BD3C1E">
        <w:t>В результате прохождения практики у студента формируются следующие компетенции: УК-3, ОПК-3, ОПК-5</w:t>
      </w:r>
      <w:r w:rsidRPr="00065093">
        <w:t>.</w:t>
      </w:r>
    </w:p>
    <w:p w:rsidR="0024056F" w:rsidRDefault="0024056F" w:rsidP="0024056F">
      <w:pPr>
        <w:ind w:firstLine="567"/>
        <w:jc w:val="both"/>
        <w:rPr>
          <w:b/>
        </w:rPr>
      </w:pPr>
    </w:p>
    <w:p w:rsidR="0072702B" w:rsidRDefault="0072702B"/>
    <w:sectPr w:rsidR="0072702B" w:rsidSect="0041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6F"/>
    <w:rsid w:val="0024056F"/>
    <w:rsid w:val="0072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5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5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2022-05-23T06:48:00Z</dcterms:created>
  <dcterms:modified xsi:type="dcterms:W3CDTF">2022-05-23T06:48:00Z</dcterms:modified>
</cp:coreProperties>
</file>